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13" w:rsidRPr="0027179D" w:rsidRDefault="00CD2D13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179D">
        <w:rPr>
          <w:rFonts w:ascii="Times New Roman" w:hAnsi="Times New Roman" w:cs="Times New Roman"/>
          <w:b/>
          <w:sz w:val="26"/>
          <w:szCs w:val="26"/>
        </w:rPr>
        <w:t xml:space="preserve">Правовое регулирование </w:t>
      </w:r>
      <w:proofErr w:type="spellStart"/>
      <w:r w:rsidRPr="0027179D">
        <w:rPr>
          <w:rFonts w:ascii="Times New Roman" w:hAnsi="Times New Roman" w:cs="Times New Roman"/>
          <w:b/>
          <w:sz w:val="26"/>
          <w:szCs w:val="26"/>
        </w:rPr>
        <w:t>антиконкурентных</w:t>
      </w:r>
      <w:proofErr w:type="spellEnd"/>
      <w:r w:rsidRPr="0027179D">
        <w:rPr>
          <w:rFonts w:ascii="Times New Roman" w:hAnsi="Times New Roman" w:cs="Times New Roman"/>
          <w:b/>
          <w:sz w:val="26"/>
          <w:szCs w:val="26"/>
        </w:rPr>
        <w:t xml:space="preserve"> соглашений. Последствия их совершения.</w:t>
      </w:r>
    </w:p>
    <w:p w:rsidR="00CD2D13" w:rsidRPr="0027179D" w:rsidRDefault="00CD2D13" w:rsidP="0027179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Антиконкурентные</w:t>
      </w:r>
      <w:proofErr w:type="spellEnd"/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соглашения на данный момент являются самым серьезным нарушением антимонопольного законодательства. Чаще всего они находят свое выражение в форме картельных соглашений.</w:t>
      </w:r>
    </w:p>
    <w:p w:rsidR="0032029B" w:rsidRPr="0027179D" w:rsidRDefault="0032029B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18 статьи 4 Закона о защите конкуренции соглашение - договоренность в письменной форме, содержащаяся в документе или нескольких документах, а также договоренность в устной форме.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доказывании </w:t>
      </w:r>
      <w:proofErr w:type="spellStart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антиконкурентных</w:t>
      </w:r>
      <w:proofErr w:type="spellEnd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соглашений могут использоваться прямые и косвенные доказательства.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Прямыми доказательствами наличия </w:t>
      </w:r>
      <w:proofErr w:type="spellStart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антиконкурентного</w:t>
      </w:r>
      <w:proofErr w:type="spellEnd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могут быть письменные доказательства, содержащие волю лиц, направленную на достижение соглашения: непосредственно соглашения; договоры в письменной форме; протоколы совещаний (собраний); переписка участников соглашения, в том числе в электронном виде.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 заключения </w:t>
      </w:r>
      <w:proofErr w:type="spellStart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антиконкурентного</w:t>
      </w:r>
      <w:proofErr w:type="spellEnd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может быть установлен как на основании прямых доказательств, так и совокупности косвенных доказательств.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практике к косвенным доказательствам обычно относятся: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экономического обоснования поведения одного из участников соглашения, создающего преимущества для другого участника соглашения, не соответствующего цели осуществления предпринимательской деятельности - получению прибыли;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заключение договора поставки (субподряда) победителем торгов с одним из участников торгов, отказавшимся от активных действий на самих торгах;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участниками торгов одного и того же IP-адреса (учетной записи) при подаче заявок и участии в электронных торгах;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фактическое расположение участников соглашения по одному и тому же адресу;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оформление сертификатов электронных цифровых подписей на одно и то же физическое лицо;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документов для участия в торгах разных хозяйствующих субъектов одним и тем же лицом;</w:t>
      </w:r>
    </w:p>
    <w:p w:rsidR="00343890" w:rsidRPr="0027179D" w:rsidRDefault="00343890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взаиморасчетов между участниками соглашения, свидетельствующее о наличии взаимной заинтересованности в результате реализации соглашения.</w:t>
      </w:r>
    </w:p>
    <w:p w:rsidR="0032029B" w:rsidRPr="0027179D" w:rsidRDefault="00343890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Выделяют следующие виды </w:t>
      </w:r>
      <w:proofErr w:type="spellStart"/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антиконкурентных</w:t>
      </w:r>
      <w:proofErr w:type="spellEnd"/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соглашений.</w:t>
      </w:r>
    </w:p>
    <w:p w:rsidR="00343890" w:rsidRPr="0027179D" w:rsidRDefault="00343890" w:rsidP="0027179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Горизонтальные: Картель покупателей. Картель продавцов.</w:t>
      </w:r>
    </w:p>
    <w:p w:rsidR="00343890" w:rsidRPr="0027179D" w:rsidRDefault="00343890" w:rsidP="0027179D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Вертикальные: Продавец-покупатель на товарном рынке. Заказчик-участник в торгах. Орган власти-хозяйствующий субъект.</w:t>
      </w:r>
    </w:p>
    <w:p w:rsidR="0022716C" w:rsidRPr="0027179D" w:rsidRDefault="0022716C" w:rsidP="0027179D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Картель – это запрещенное законом </w:t>
      </w:r>
      <w:proofErr w:type="spellStart"/>
      <w:r w:rsidRPr="0027179D">
        <w:rPr>
          <w:rFonts w:ascii="Times New Roman" w:hAnsi="Times New Roman" w:cs="Times New Roman"/>
          <w:sz w:val="26"/>
          <w:szCs w:val="26"/>
        </w:rPr>
        <w:t>антиконкурентное</w:t>
      </w:r>
      <w:proofErr w:type="spellEnd"/>
      <w:r w:rsidRPr="0027179D">
        <w:rPr>
          <w:rFonts w:ascii="Times New Roman" w:hAnsi="Times New Roman" w:cs="Times New Roman"/>
          <w:sz w:val="26"/>
          <w:szCs w:val="26"/>
        </w:rPr>
        <w:t xml:space="preserve"> горизонтальное соглашение между хозяйствующими субъектами-конкурентами о ценах, участии в торгах, разделе рынка, создании дефицита.</w:t>
      </w:r>
    </w:p>
    <w:p w:rsidR="0022716C" w:rsidRPr="0027179D" w:rsidRDefault="0022716C" w:rsidP="0027179D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Ценовой сговор</w:t>
      </w:r>
      <w:r w:rsidR="0016227F" w:rsidRPr="0027179D">
        <w:rPr>
          <w:rFonts w:ascii="Times New Roman" w:hAnsi="Times New Roman" w:cs="Times New Roman"/>
          <w:sz w:val="26"/>
          <w:szCs w:val="26"/>
        </w:rPr>
        <w:t xml:space="preserve"> является наиболее распространенным </w:t>
      </w:r>
      <w:proofErr w:type="spellStart"/>
      <w:r w:rsidR="0016227F" w:rsidRPr="0027179D">
        <w:rPr>
          <w:rFonts w:ascii="Times New Roman" w:hAnsi="Times New Roman" w:cs="Times New Roman"/>
          <w:sz w:val="26"/>
          <w:szCs w:val="26"/>
        </w:rPr>
        <w:t>антиконкурентным</w:t>
      </w:r>
      <w:proofErr w:type="spellEnd"/>
      <w:r w:rsidR="0016227F" w:rsidRPr="0027179D">
        <w:rPr>
          <w:rFonts w:ascii="Times New Roman" w:hAnsi="Times New Roman" w:cs="Times New Roman"/>
          <w:sz w:val="26"/>
          <w:szCs w:val="26"/>
        </w:rPr>
        <w:t xml:space="preserve"> соглашением и его</w:t>
      </w:r>
      <w:r w:rsidRPr="0027179D">
        <w:rPr>
          <w:rFonts w:ascii="Times New Roman" w:hAnsi="Times New Roman" w:cs="Times New Roman"/>
          <w:sz w:val="26"/>
          <w:szCs w:val="26"/>
        </w:rPr>
        <w:t xml:space="preserve"> можно выделить при заключении:</w:t>
      </w:r>
    </w:p>
    <w:p w:rsidR="0022716C" w:rsidRPr="0027179D" w:rsidRDefault="0022716C" w:rsidP="0027179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Соглашения об </w:t>
      </w:r>
      <w:r w:rsidR="00CD2ECB" w:rsidRPr="0027179D">
        <w:rPr>
          <w:rFonts w:ascii="Times New Roman" w:hAnsi="Times New Roman" w:cs="Times New Roman"/>
          <w:sz w:val="26"/>
          <w:szCs w:val="26"/>
        </w:rPr>
        <w:t>установлении фиксированной цены.</w:t>
      </w:r>
    </w:p>
    <w:p w:rsidR="00CD2ECB" w:rsidRPr="0027179D" w:rsidRDefault="00CD2ECB" w:rsidP="0027179D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Примером</w:t>
      </w:r>
      <w:r w:rsidRPr="0027179D">
        <w:rPr>
          <w:rFonts w:ascii="Times New Roman" w:hAnsi="Times New Roman" w:cs="Times New Roman"/>
          <w:sz w:val="26"/>
          <w:szCs w:val="26"/>
        </w:rPr>
        <w:t xml:space="preserve"> данного нарушения является рассмотренное Марийским УФАС России дело, которым установлено </w:t>
      </w:r>
      <w:r w:rsidR="0016227F" w:rsidRPr="0027179D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заключение </w:t>
      </w:r>
      <w:proofErr w:type="spellStart"/>
      <w:r w:rsidR="0016227F" w:rsidRPr="0027179D">
        <w:rPr>
          <w:rFonts w:ascii="Times New Roman" w:hAnsi="Times New Roman" w:cs="Times New Roman"/>
          <w:iCs/>
          <w:sz w:val="26"/>
          <w:szCs w:val="26"/>
          <w:lang w:eastAsia="ru-RU"/>
        </w:rPr>
        <w:t>антиконкурентного</w:t>
      </w:r>
      <w:proofErr w:type="spellEnd"/>
      <w:r w:rsidR="0016227F" w:rsidRPr="0027179D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соглашения, направленное на поддержание цен на торгах</w:t>
      </w:r>
      <w:r w:rsidRPr="0027179D">
        <w:rPr>
          <w:rFonts w:ascii="Times New Roman" w:hAnsi="Times New Roman" w:cs="Times New Roman"/>
          <w:sz w:val="26"/>
          <w:szCs w:val="26"/>
        </w:rPr>
        <w:t>.</w:t>
      </w:r>
    </w:p>
    <w:p w:rsidR="00FA4875" w:rsidRPr="0027179D" w:rsidRDefault="0016227F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179D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Так, к аукциону допущено было 8 участников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>.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>К окончанию основного времени аукциона начальная цена контракта была снижена на 99,43%.</w:t>
      </w:r>
    </w:p>
    <w:p w:rsidR="00FA4875" w:rsidRPr="0027179D" w:rsidRDefault="00FA4875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179D">
        <w:rPr>
          <w:rFonts w:ascii="Times New Roman" w:hAnsi="Times New Roman" w:cs="Times New Roman"/>
          <w:sz w:val="26"/>
          <w:szCs w:val="26"/>
          <w:lang w:eastAsia="zh-CN"/>
        </w:rPr>
        <w:t>В течение последующих 10 минут одним участником сдела</w:t>
      </w:r>
      <w:r w:rsidR="00F53521" w:rsidRPr="0027179D">
        <w:rPr>
          <w:rFonts w:ascii="Times New Roman" w:hAnsi="Times New Roman" w:cs="Times New Roman"/>
          <w:sz w:val="26"/>
          <w:szCs w:val="26"/>
          <w:lang w:eastAsia="zh-CN"/>
        </w:rPr>
        <w:t>н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>о предложение о снижении начальной (максима</w:t>
      </w:r>
      <w:r w:rsidR="00F53521" w:rsidRPr="0027179D">
        <w:rPr>
          <w:rFonts w:ascii="Times New Roman" w:hAnsi="Times New Roman" w:cs="Times New Roman"/>
          <w:sz w:val="26"/>
          <w:szCs w:val="26"/>
          <w:lang w:eastAsia="zh-CN"/>
        </w:rPr>
        <w:t>льной) цены контракта на 10,66%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FA4875" w:rsidRPr="0027179D" w:rsidRDefault="00FA4875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179D">
        <w:rPr>
          <w:rFonts w:ascii="Times New Roman" w:hAnsi="Times New Roman" w:cs="Times New Roman"/>
          <w:sz w:val="26"/>
          <w:szCs w:val="26"/>
          <w:lang w:eastAsia="zh-CN"/>
        </w:rPr>
        <w:t>По итогам рассмотрения вторых частей заявок победителем аукциона признано общество, снизившее цену контракта на 10,66%, заявки двух других участников были признаны не соответствующими, так как в названных заявках отсутствовали копии лицензий на осуществление фармацевтической деятельности или на осуществление деятельности по производству лекарственных средств.</w:t>
      </w:r>
    </w:p>
    <w:p w:rsidR="00FA4875" w:rsidRPr="0027179D" w:rsidRDefault="00F53521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179D">
        <w:rPr>
          <w:rFonts w:ascii="Times New Roman" w:hAnsi="Times New Roman" w:cs="Times New Roman"/>
          <w:sz w:val="26"/>
          <w:szCs w:val="26"/>
          <w:lang w:eastAsia="zh-CN"/>
        </w:rPr>
        <w:t>В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 требования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>х к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 документации 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>было указано на обязательность наличия лицензии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. Следовательно, </w:t>
      </w:r>
      <w:r w:rsidR="003F2D1F" w:rsidRPr="0027179D">
        <w:rPr>
          <w:rFonts w:ascii="Times New Roman" w:hAnsi="Times New Roman" w:cs="Times New Roman"/>
          <w:sz w:val="26"/>
          <w:szCs w:val="26"/>
          <w:lang w:eastAsia="zh-CN"/>
        </w:rPr>
        <w:t>2 участника, которых отклонили,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 не могли не знать о необходимости представления 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данных 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>документов.</w:t>
      </w:r>
    </w:p>
    <w:p w:rsidR="00FA4875" w:rsidRPr="0027179D" w:rsidRDefault="003F2D1F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179D">
        <w:rPr>
          <w:rFonts w:ascii="Times New Roman" w:hAnsi="Times New Roman" w:cs="Times New Roman"/>
          <w:sz w:val="26"/>
          <w:szCs w:val="26"/>
          <w:lang w:eastAsia="zh-CN"/>
        </w:rPr>
        <w:t>Марийским УФАС России установлено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, что 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2 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>участник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>а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 процедуры закупки, </w:t>
      </w:r>
      <w:r w:rsidR="00F53521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которых отклонили, 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>действовали в интересах третьего участника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>, который в итоге признан победителем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FA4875" w:rsidRPr="0027179D" w:rsidRDefault="003F2D1F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Также антимонопольным органом установлено, что рассматриваемые три хозяйствующих субъекта участвуют в торгах только совместно и 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аналогичная схема поведения на аукционах применялась </w:t>
      </w:r>
      <w:r w:rsidRPr="0027179D">
        <w:rPr>
          <w:rFonts w:ascii="Times New Roman" w:hAnsi="Times New Roman" w:cs="Times New Roman"/>
          <w:sz w:val="26"/>
          <w:szCs w:val="26"/>
          <w:lang w:eastAsia="zh-CN"/>
        </w:rPr>
        <w:t>данными лицами</w:t>
      </w:r>
      <w:r w:rsidR="00FA4875" w:rsidRPr="0027179D">
        <w:rPr>
          <w:rFonts w:ascii="Times New Roman" w:hAnsi="Times New Roman" w:cs="Times New Roman"/>
          <w:sz w:val="26"/>
          <w:szCs w:val="26"/>
          <w:lang w:eastAsia="zh-CN"/>
        </w:rPr>
        <w:t xml:space="preserve"> и ранее.</w:t>
      </w:r>
    </w:p>
    <w:p w:rsidR="0022716C" w:rsidRPr="0027179D" w:rsidRDefault="0022716C" w:rsidP="0027179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Соглашения о собл</w:t>
      </w:r>
      <w:r w:rsidR="00FA4875" w:rsidRPr="0027179D">
        <w:rPr>
          <w:rFonts w:ascii="Times New Roman" w:hAnsi="Times New Roman" w:cs="Times New Roman"/>
          <w:sz w:val="26"/>
          <w:szCs w:val="26"/>
        </w:rPr>
        <w:t>юдении определенного уровня цен.</w:t>
      </w:r>
    </w:p>
    <w:p w:rsidR="00FA4875" w:rsidRPr="0027179D" w:rsidRDefault="00AD2147" w:rsidP="0027179D">
      <w:pPr>
        <w:pStyle w:val="a6"/>
        <w:widowControl w:val="0"/>
        <w:tabs>
          <w:tab w:val="left" w:pos="851"/>
        </w:tabs>
        <w:ind w:firstLine="567"/>
        <w:rPr>
          <w:sz w:val="26"/>
          <w:szCs w:val="26"/>
        </w:rPr>
      </w:pPr>
      <w:r w:rsidRPr="0027179D">
        <w:rPr>
          <w:b/>
          <w:i/>
          <w:sz w:val="26"/>
          <w:szCs w:val="26"/>
          <w:highlight w:val="yellow"/>
          <w:u w:val="single"/>
        </w:rPr>
        <w:t>Пример:</w:t>
      </w:r>
      <w:r w:rsidRPr="0027179D">
        <w:rPr>
          <w:sz w:val="26"/>
          <w:szCs w:val="26"/>
        </w:rPr>
        <w:t xml:space="preserve"> </w:t>
      </w:r>
      <w:r w:rsidR="00FA4875" w:rsidRPr="0027179D">
        <w:rPr>
          <w:sz w:val="26"/>
          <w:szCs w:val="26"/>
        </w:rPr>
        <w:t xml:space="preserve">Марийским УФАС России </w:t>
      </w:r>
      <w:r w:rsidR="0059327E" w:rsidRPr="0027179D">
        <w:rPr>
          <w:sz w:val="26"/>
          <w:szCs w:val="26"/>
        </w:rPr>
        <w:t>рассмотрено дело</w:t>
      </w:r>
      <w:r w:rsidR="00FA4875" w:rsidRPr="0027179D">
        <w:rPr>
          <w:sz w:val="26"/>
          <w:szCs w:val="26"/>
        </w:rPr>
        <w:t xml:space="preserve"> о нарушении антимонопольного законодательства </w:t>
      </w:r>
      <w:r w:rsidR="0059327E" w:rsidRPr="0027179D">
        <w:rPr>
          <w:sz w:val="26"/>
          <w:szCs w:val="26"/>
        </w:rPr>
        <w:t>в связи с</w:t>
      </w:r>
      <w:r w:rsidR="00FA4875" w:rsidRPr="0027179D">
        <w:rPr>
          <w:sz w:val="26"/>
          <w:szCs w:val="26"/>
        </w:rPr>
        <w:t xml:space="preserve"> заключени</w:t>
      </w:r>
      <w:r w:rsidR="0059327E" w:rsidRPr="0027179D">
        <w:rPr>
          <w:sz w:val="26"/>
          <w:szCs w:val="26"/>
        </w:rPr>
        <w:t>ем</w:t>
      </w:r>
      <w:r w:rsidR="00FA4875" w:rsidRPr="0027179D">
        <w:rPr>
          <w:sz w:val="26"/>
          <w:szCs w:val="26"/>
        </w:rPr>
        <w:t xml:space="preserve"> и реализаци</w:t>
      </w:r>
      <w:r w:rsidR="0059327E" w:rsidRPr="0027179D">
        <w:rPr>
          <w:sz w:val="26"/>
          <w:szCs w:val="26"/>
        </w:rPr>
        <w:t>ей</w:t>
      </w:r>
      <w:r w:rsidR="00FA4875" w:rsidRPr="0027179D">
        <w:rPr>
          <w:sz w:val="26"/>
          <w:szCs w:val="26"/>
        </w:rPr>
        <w:t xml:space="preserve"> соглашения между хозяйствующими субъектами, осуществляющими пассажирские перевозки</w:t>
      </w:r>
      <w:r w:rsidR="0059327E" w:rsidRPr="0027179D">
        <w:rPr>
          <w:sz w:val="26"/>
          <w:szCs w:val="26"/>
        </w:rPr>
        <w:t>,</w:t>
      </w:r>
      <w:r w:rsidR="00FA4875" w:rsidRPr="0027179D">
        <w:rPr>
          <w:sz w:val="26"/>
          <w:szCs w:val="26"/>
        </w:rPr>
        <w:t xml:space="preserve"> об установлении </w:t>
      </w:r>
      <w:r w:rsidR="00F53521" w:rsidRPr="0027179D">
        <w:rPr>
          <w:sz w:val="26"/>
          <w:szCs w:val="26"/>
        </w:rPr>
        <w:t xml:space="preserve">одинаковой </w:t>
      </w:r>
      <w:r w:rsidR="00FA4875" w:rsidRPr="0027179D">
        <w:rPr>
          <w:sz w:val="26"/>
          <w:szCs w:val="26"/>
        </w:rPr>
        <w:t>стоимости проезда.</w:t>
      </w:r>
    </w:p>
    <w:p w:rsidR="00FA4875" w:rsidRPr="0027179D" w:rsidRDefault="00F53521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Вместе с тем,</w:t>
      </w:r>
      <w:r w:rsidR="0059327E" w:rsidRPr="0027179D">
        <w:rPr>
          <w:rFonts w:ascii="Times New Roman" w:hAnsi="Times New Roman" w:cs="Times New Roman"/>
          <w:sz w:val="26"/>
          <w:szCs w:val="26"/>
        </w:rPr>
        <w:t xml:space="preserve"> у</w:t>
      </w:r>
      <w:r w:rsidR="00FA4875" w:rsidRPr="0027179D">
        <w:rPr>
          <w:rFonts w:ascii="Times New Roman" w:hAnsi="Times New Roman" w:cs="Times New Roman"/>
          <w:sz w:val="26"/>
          <w:szCs w:val="26"/>
        </w:rPr>
        <w:t xml:space="preserve">словия осуществления предпринимательской деятельности всех перевозчиков различны: используются разнородные транспортные средства для перевозки; для обслуживания маршрутов необходимо </w:t>
      </w:r>
      <w:r w:rsidR="0059327E" w:rsidRPr="0027179D">
        <w:rPr>
          <w:rFonts w:ascii="Times New Roman" w:hAnsi="Times New Roman" w:cs="Times New Roman"/>
          <w:sz w:val="26"/>
          <w:szCs w:val="26"/>
        </w:rPr>
        <w:t>различное количество</w:t>
      </w:r>
      <w:r w:rsidR="00FA4875" w:rsidRPr="0027179D">
        <w:rPr>
          <w:rFonts w:ascii="Times New Roman" w:hAnsi="Times New Roman" w:cs="Times New Roman"/>
          <w:sz w:val="26"/>
          <w:szCs w:val="26"/>
        </w:rPr>
        <w:t xml:space="preserve"> транспортных средств; протяженность маршрута значительно отличается.</w:t>
      </w:r>
    </w:p>
    <w:p w:rsidR="00FA4875" w:rsidRPr="0027179D" w:rsidRDefault="00F53521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Хозяйствующими субъектами</w:t>
      </w:r>
      <w:r w:rsidR="00FA4875" w:rsidRPr="0027179D">
        <w:rPr>
          <w:rFonts w:ascii="Times New Roman" w:hAnsi="Times New Roman" w:cs="Times New Roman"/>
          <w:sz w:val="26"/>
          <w:szCs w:val="26"/>
        </w:rPr>
        <w:t xml:space="preserve"> использовался котловой метод в формировании платы за проезд</w:t>
      </w:r>
      <w:r w:rsidRPr="0027179D">
        <w:rPr>
          <w:rFonts w:ascii="Times New Roman" w:hAnsi="Times New Roman" w:cs="Times New Roman"/>
          <w:sz w:val="26"/>
          <w:szCs w:val="26"/>
        </w:rPr>
        <w:t>, в который учитывались все расходы лица, в том числе з</w:t>
      </w:r>
      <w:r w:rsidR="00FA4875" w:rsidRPr="0027179D">
        <w:rPr>
          <w:rFonts w:ascii="Times New Roman" w:hAnsi="Times New Roman" w:cs="Times New Roman"/>
          <w:sz w:val="26"/>
          <w:szCs w:val="26"/>
        </w:rPr>
        <w:t>атраты по перевозкам на межрегиональных маршрутах</w:t>
      </w:r>
      <w:r w:rsidRPr="0027179D">
        <w:rPr>
          <w:rFonts w:ascii="Times New Roman" w:hAnsi="Times New Roman" w:cs="Times New Roman"/>
          <w:sz w:val="26"/>
          <w:szCs w:val="26"/>
        </w:rPr>
        <w:t>, которые</w:t>
      </w:r>
      <w:r w:rsidR="00FA4875" w:rsidRPr="0027179D">
        <w:rPr>
          <w:rFonts w:ascii="Times New Roman" w:hAnsi="Times New Roman" w:cs="Times New Roman"/>
          <w:sz w:val="26"/>
          <w:szCs w:val="26"/>
        </w:rPr>
        <w:t xml:space="preserve"> включены в стоимость за проезд внутри города.</w:t>
      </w:r>
    </w:p>
    <w:p w:rsidR="00FA4875" w:rsidRPr="0027179D" w:rsidRDefault="00FA4875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Перевозчики не смогли экономически обосновать повышение стоимости проезда. У некоторых перевозчиков себестоимость проезда значительно превышала установленную, у других не достигала установленного ими уровня.</w:t>
      </w:r>
    </w:p>
    <w:p w:rsidR="0022716C" w:rsidRPr="0027179D" w:rsidRDefault="0022716C" w:rsidP="0027179D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Соглашения </w:t>
      </w:r>
      <w:r w:rsidR="00884053" w:rsidRPr="0027179D">
        <w:rPr>
          <w:rFonts w:ascii="Times New Roman" w:hAnsi="Times New Roman" w:cs="Times New Roman"/>
          <w:sz w:val="26"/>
          <w:szCs w:val="26"/>
        </w:rPr>
        <w:t>о наличии и уровне скидок.</w:t>
      </w:r>
    </w:p>
    <w:p w:rsidR="00AC54F4" w:rsidRPr="0027179D" w:rsidRDefault="00AC54F4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  <w:highlight w:val="yellow"/>
        </w:rPr>
        <w:t>Примером</w:t>
      </w:r>
      <w:r w:rsidRPr="0027179D">
        <w:rPr>
          <w:rFonts w:ascii="Times New Roman" w:hAnsi="Times New Roman" w:cs="Times New Roman"/>
          <w:sz w:val="26"/>
          <w:szCs w:val="26"/>
        </w:rPr>
        <w:t xml:space="preserve"> данного соглашения может служить заключение дистрибьюторского соглашения. Так, при рассмотрении одного из дел установлено, что в соответствии с маркетинговой политикой общества отдельным клиентам предоставля</w:t>
      </w:r>
      <w:r w:rsidR="00F53521" w:rsidRPr="0027179D">
        <w:rPr>
          <w:rFonts w:ascii="Times New Roman" w:hAnsi="Times New Roman" w:cs="Times New Roman"/>
          <w:sz w:val="26"/>
          <w:szCs w:val="26"/>
        </w:rPr>
        <w:t>лись</w:t>
      </w:r>
      <w:r w:rsidRPr="0027179D">
        <w:rPr>
          <w:rFonts w:ascii="Times New Roman" w:hAnsi="Times New Roman" w:cs="Times New Roman"/>
          <w:sz w:val="26"/>
          <w:szCs w:val="26"/>
        </w:rPr>
        <w:t xml:space="preserve"> индивидуальные скидки в размере до 20%. При предоставлении таких скидок учитыва</w:t>
      </w:r>
      <w:r w:rsidR="00F53521" w:rsidRPr="0027179D">
        <w:rPr>
          <w:rFonts w:ascii="Times New Roman" w:hAnsi="Times New Roman" w:cs="Times New Roman"/>
          <w:sz w:val="26"/>
          <w:szCs w:val="26"/>
        </w:rPr>
        <w:t>лись</w:t>
      </w:r>
      <w:r w:rsidRPr="0027179D">
        <w:rPr>
          <w:rFonts w:ascii="Times New Roman" w:hAnsi="Times New Roman" w:cs="Times New Roman"/>
          <w:sz w:val="26"/>
          <w:szCs w:val="26"/>
        </w:rPr>
        <w:t xml:space="preserve"> долговременное положительное сотрудничество с клиентом, стратегическая важность последнего для общества.</w:t>
      </w:r>
    </w:p>
    <w:p w:rsidR="00AC54F4" w:rsidRPr="0027179D" w:rsidRDefault="00AC54F4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Проанализировав условия применения индивидуальных скидок, сделан вывод о том, что такие условия не отвечают критериям экономической и технологической обоснованности по следующим причинам:</w:t>
      </w:r>
    </w:p>
    <w:p w:rsidR="00AC54F4" w:rsidRPr="0027179D" w:rsidRDefault="00AC54F4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отсутствует понятная методика их применения;</w:t>
      </w:r>
    </w:p>
    <w:p w:rsidR="00AC54F4" w:rsidRPr="0027179D" w:rsidRDefault="00AC54F4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не указаны четкие критерии определения понятия «долговременное положительное сотрудничество с клиентом»;</w:t>
      </w:r>
    </w:p>
    <w:p w:rsidR="00AC54F4" w:rsidRPr="0027179D" w:rsidRDefault="00AC54F4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не прописан механизм объективной оценки стратегической важности клиента;</w:t>
      </w:r>
    </w:p>
    <w:p w:rsidR="00F53521" w:rsidRPr="0027179D" w:rsidRDefault="00AC54F4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не установлены пределы отклонения скидок от цен, предусмотренных тарифной политикой общества</w:t>
      </w:r>
      <w:r w:rsidR="00F53521" w:rsidRPr="0027179D">
        <w:rPr>
          <w:rFonts w:ascii="Times New Roman" w:hAnsi="Times New Roman" w:cs="Times New Roman"/>
          <w:sz w:val="26"/>
          <w:szCs w:val="26"/>
        </w:rPr>
        <w:t>.</w:t>
      </w:r>
    </w:p>
    <w:p w:rsidR="00343890" w:rsidRPr="0027179D" w:rsidRDefault="00884053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Можно выделить следующие виды сговора на торгах.</w:t>
      </w:r>
    </w:p>
    <w:p w:rsidR="00884053" w:rsidRPr="0027179D" w:rsidRDefault="00884053" w:rsidP="0027179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Установление открытого перечня действий, на совершение которых при проведении торгов устанавливается запрет, так как это приводит или может привести к недопущению, ограничению или устранению конкуренции (ч. 1 ст. 17 Закона о защите конкуренции)</w:t>
      </w:r>
    </w:p>
    <w:p w:rsidR="00166125" w:rsidRPr="0027179D" w:rsidRDefault="00884053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shd w:val="clear" w:color="auto" w:fill="FFFFFF"/>
        </w:rPr>
        <w:t>Пример</w:t>
      </w:r>
      <w:r w:rsidR="00166125"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shd w:val="clear" w:color="auto" w:fill="FFFFFF"/>
        </w:rPr>
        <w:t>ом</w:t>
      </w:r>
      <w:r w:rsidR="00166125"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может служить рассмотренное дело, которым установлено, что </w:t>
      </w:r>
      <w:r w:rsidR="00BF66BE"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66125"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166125" w:rsidRPr="0027179D">
        <w:rPr>
          <w:rFonts w:ascii="Times New Roman" w:hAnsi="Times New Roman" w:cs="Times New Roman"/>
          <w:sz w:val="26"/>
          <w:szCs w:val="26"/>
        </w:rPr>
        <w:t>отрудники одного из обществ направляли по запросу заказчиков коммерческие предложения одновременно от нескольких хозяйствующих субъектов для формирования на</w:t>
      </w:r>
      <w:r w:rsidR="00540521" w:rsidRPr="0027179D">
        <w:rPr>
          <w:rFonts w:ascii="Times New Roman" w:hAnsi="Times New Roman" w:cs="Times New Roman"/>
          <w:sz w:val="26"/>
          <w:szCs w:val="26"/>
        </w:rPr>
        <w:t>ч</w:t>
      </w:r>
      <w:r w:rsidR="00166125" w:rsidRPr="0027179D">
        <w:rPr>
          <w:rFonts w:ascii="Times New Roman" w:hAnsi="Times New Roman" w:cs="Times New Roman"/>
          <w:sz w:val="26"/>
          <w:szCs w:val="26"/>
        </w:rPr>
        <w:t xml:space="preserve">ально максимальной цены контракта; заказчики пересылали по электронной почте первые части заявок на участие в аукционах сотрудникам одного из обществ, которые в ответе на данные письма указывали формулировки для отклонения заявок хозяйствующих субъектов, не являющихся участниками </w:t>
      </w:r>
      <w:proofErr w:type="spellStart"/>
      <w:r w:rsidR="00166125" w:rsidRPr="0027179D"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 w:rsidR="00166125" w:rsidRPr="0027179D">
        <w:rPr>
          <w:rFonts w:ascii="Times New Roman" w:hAnsi="Times New Roman" w:cs="Times New Roman"/>
          <w:sz w:val="26"/>
          <w:szCs w:val="26"/>
        </w:rPr>
        <w:t xml:space="preserve"> соглашения. Эти формулировки дословно включались заказчиком в протоколы рассмотрения первых частей заявок. В итоге в действиях обществ и заказчиков признан факт нарушения антимонопольного законодательства. </w:t>
      </w:r>
    </w:p>
    <w:p w:rsidR="00884053" w:rsidRPr="0027179D" w:rsidRDefault="00884053" w:rsidP="0027179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Установление специальных запретов, имеющих ограниченную сферу их применения и соответствующую ей специфику правового статуса объектов (ч. 2 и 3 ст. </w:t>
      </w:r>
      <w:r w:rsidRPr="0027179D">
        <w:rPr>
          <w:rFonts w:ascii="Times New Roman" w:hAnsi="Times New Roman" w:cs="Times New Roman"/>
          <w:sz w:val="26"/>
          <w:szCs w:val="26"/>
        </w:rPr>
        <w:t>17 Закона о защите конкуренции).</w:t>
      </w:r>
    </w:p>
    <w:p w:rsidR="00542E88" w:rsidRPr="0027179D" w:rsidRDefault="00542E88" w:rsidP="00271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  <w:highlight w:val="yellow"/>
        </w:rPr>
        <w:t>Так,</w:t>
      </w:r>
      <w:r w:rsidRPr="0027179D">
        <w:rPr>
          <w:rFonts w:ascii="Times New Roman" w:hAnsi="Times New Roman" w:cs="Times New Roman"/>
          <w:sz w:val="26"/>
          <w:szCs w:val="26"/>
        </w:rPr>
        <w:t xml:space="preserve"> одним из территориальных органов ФАС России установлено несоответствие предмета контракта и содержания аукционной документации по понятию «строительство под ключ», установлено, что объединение заказчиком в один предмет закупки строительных работ и поставки оборудования (мебели, техники, и т.д.) неправомерно. Судами трех инстанций решение антимонопольного органа оставлено в силе и отмечено, что объединение в один предмет закупки строительных работ и поставки оборудования, технологически и функционально не связанного с объектом строительства, приведет к необоснованному ограничению количества участников закупки, то есть ограничению конкуренции.</w:t>
      </w:r>
    </w:p>
    <w:p w:rsidR="00343890" w:rsidRPr="0027179D" w:rsidRDefault="00884053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Следующим видом </w:t>
      </w:r>
      <w:proofErr w:type="spellStart"/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антиконкурентного</w:t>
      </w:r>
      <w:proofErr w:type="spellEnd"/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соглашения является сговор по разделу рынка (клиентов, территории, объемов продаж или закупок, ассортимента товара)</w:t>
      </w:r>
    </w:p>
    <w:p w:rsidR="00884053" w:rsidRPr="0027179D" w:rsidRDefault="00884053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Признакам раздела рынка являются:</w:t>
      </w:r>
    </w:p>
    <w:p w:rsidR="00884053" w:rsidRPr="0027179D" w:rsidRDefault="00884053" w:rsidP="0027179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Конкуренты делят клиентов по принципу «свой-чужой»;</w:t>
      </w:r>
    </w:p>
    <w:p w:rsidR="00884053" w:rsidRPr="0027179D" w:rsidRDefault="00884053" w:rsidP="0027179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Конкуренты работают в определенных географических районах;</w:t>
      </w:r>
    </w:p>
    <w:p w:rsidR="00884053" w:rsidRPr="0027179D" w:rsidRDefault="00884053" w:rsidP="0027179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Компании не проявляют интерес к определенным клиентам, подрядам;</w:t>
      </w:r>
    </w:p>
    <w:p w:rsidR="00884053" w:rsidRPr="0027179D" w:rsidRDefault="00884053" w:rsidP="0027179D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Компании не увеличивают предложение товара, несмотря на наличие спроса.</w:t>
      </w:r>
    </w:p>
    <w:p w:rsidR="00EA3173" w:rsidRPr="0027179D" w:rsidRDefault="0088405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shd w:val="clear" w:color="auto" w:fill="FFFFFF"/>
        </w:rPr>
        <w:t>Прим</w:t>
      </w:r>
      <w:r w:rsidR="00EA3173"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  <w:shd w:val="clear" w:color="auto" w:fill="FFFFFF"/>
        </w:rPr>
        <w:t>ером</w:t>
      </w:r>
      <w:r w:rsidR="00EA3173"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данного вида соглашения является рассмотренное ФАС России дело о пищевой соли.</w:t>
      </w:r>
    </w:p>
    <w:p w:rsidR="00EA3173" w:rsidRPr="0027179D" w:rsidRDefault="00EA317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В рамках дела установлено, что несколько хозяйствующих субъектов заключили соглашение, предметом которого являлся раздел товарного рынка оптовых поставок пищевой соли в географических границах Российской Федерации. Участники Соглашения разделили рынок между собой по территориальному принципу, объему продажи товаров, ассортименту реализуемых товаров и составу покупателей и договорились не поставлять продукцию в незакрепленный за ними регион без письменного разрешения ответственного за регион предприятия.</w:t>
      </w:r>
    </w:p>
    <w:p w:rsidR="00343890" w:rsidRPr="0027179D" w:rsidRDefault="00884053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Следующим видом </w:t>
      </w:r>
      <w:proofErr w:type="spellStart"/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антиконкурент</w:t>
      </w:r>
      <w:r w:rsidR="005D5427"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ного</w:t>
      </w:r>
      <w:proofErr w:type="spellEnd"/>
      <w:r w:rsidR="005D5427"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соглашения является сговор по созданию дефицита. Целью данных действий является создание условий для роста цен на товар; оказание давления на органы власти; устранение с рынка не входящих в картель конкурентов.</w:t>
      </w:r>
    </w:p>
    <w:p w:rsidR="005D5427" w:rsidRPr="0027179D" w:rsidRDefault="005D5427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Сговор по созданию дефицита отличают следующие признаки:</w:t>
      </w:r>
    </w:p>
    <w:p w:rsidR="005D5427" w:rsidRPr="0027179D" w:rsidRDefault="005D5427" w:rsidP="0027179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Объективные экономические причины для недостатка товара на рынке отсутствуют;</w:t>
      </w:r>
    </w:p>
    <w:p w:rsidR="005D5427" w:rsidRPr="0027179D" w:rsidRDefault="005D5427" w:rsidP="0027179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На «дефицитный» товар имеет место синхронный рост цен на одинаковую величину;</w:t>
      </w:r>
    </w:p>
    <w:p w:rsidR="005D5427" w:rsidRPr="0027179D" w:rsidRDefault="005D5427" w:rsidP="0027179D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7179D">
        <w:rPr>
          <w:rFonts w:ascii="Times New Roman" w:hAnsi="Times New Roman" w:cs="Times New Roman"/>
          <w:sz w:val="26"/>
          <w:szCs w:val="26"/>
          <w:shd w:val="clear" w:color="auto" w:fill="FFFFFF"/>
        </w:rPr>
        <w:t>«дефицит» сопровождается требованиями отраслевых лоббистов к органам власти</w:t>
      </w:r>
    </w:p>
    <w:p w:rsidR="006B7395" w:rsidRPr="0027179D" w:rsidRDefault="006B7395" w:rsidP="002717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27179D">
        <w:rPr>
          <w:sz w:val="26"/>
          <w:szCs w:val="26"/>
          <w:highlight w:val="yellow"/>
          <w:shd w:val="clear" w:color="auto" w:fill="FFFFFF"/>
        </w:rPr>
        <w:t>Примером</w:t>
      </w:r>
      <w:r w:rsidRPr="0027179D">
        <w:rPr>
          <w:sz w:val="26"/>
          <w:szCs w:val="26"/>
          <w:shd w:val="clear" w:color="auto" w:fill="FFFFFF"/>
        </w:rPr>
        <w:t xml:space="preserve"> является </w:t>
      </w:r>
      <w:r w:rsidR="00E3433B">
        <w:rPr>
          <w:sz w:val="26"/>
          <w:szCs w:val="26"/>
          <w:shd w:val="clear" w:color="auto" w:fill="FFFFFF"/>
        </w:rPr>
        <w:t>действия</w:t>
      </w:r>
      <w:r w:rsidRPr="0027179D">
        <w:rPr>
          <w:sz w:val="26"/>
          <w:szCs w:val="26"/>
          <w:shd w:val="clear" w:color="auto" w:fill="FFFFFF"/>
        </w:rPr>
        <w:t xml:space="preserve"> </w:t>
      </w:r>
      <w:r w:rsidR="00E3433B" w:rsidRPr="0027179D">
        <w:rPr>
          <w:sz w:val="26"/>
          <w:szCs w:val="26"/>
          <w:shd w:val="clear" w:color="auto" w:fill="FFFFFF"/>
        </w:rPr>
        <w:t>нефтяных</w:t>
      </w:r>
      <w:r w:rsidRPr="0027179D">
        <w:rPr>
          <w:sz w:val="26"/>
          <w:szCs w:val="26"/>
          <w:shd w:val="clear" w:color="auto" w:fill="FFFFFF"/>
        </w:rPr>
        <w:t xml:space="preserve"> компани</w:t>
      </w:r>
      <w:r w:rsidR="00E3433B">
        <w:rPr>
          <w:sz w:val="26"/>
          <w:szCs w:val="26"/>
          <w:shd w:val="clear" w:color="auto" w:fill="FFFFFF"/>
        </w:rPr>
        <w:t>й</w:t>
      </w:r>
      <w:r w:rsidRPr="0027179D">
        <w:rPr>
          <w:sz w:val="26"/>
          <w:szCs w:val="26"/>
          <w:shd w:val="clear" w:color="auto" w:fill="FFFFFF"/>
        </w:rPr>
        <w:t xml:space="preserve"> </w:t>
      </w:r>
      <w:r w:rsidR="00E3433B">
        <w:rPr>
          <w:color w:val="000000"/>
          <w:spacing w:val="2"/>
          <w:sz w:val="26"/>
          <w:szCs w:val="26"/>
        </w:rPr>
        <w:t>по</w:t>
      </w:r>
      <w:r w:rsidRPr="0027179D">
        <w:rPr>
          <w:color w:val="000000"/>
          <w:spacing w:val="2"/>
          <w:sz w:val="26"/>
          <w:szCs w:val="26"/>
        </w:rPr>
        <w:t xml:space="preserve"> увелич</w:t>
      </w:r>
      <w:r w:rsidR="00E3433B">
        <w:rPr>
          <w:color w:val="000000"/>
          <w:spacing w:val="2"/>
          <w:sz w:val="26"/>
          <w:szCs w:val="26"/>
        </w:rPr>
        <w:t>ению</w:t>
      </w:r>
      <w:r w:rsidRPr="0027179D">
        <w:rPr>
          <w:color w:val="000000"/>
          <w:spacing w:val="2"/>
          <w:sz w:val="26"/>
          <w:szCs w:val="26"/>
        </w:rPr>
        <w:t xml:space="preserve"> поставки автомобильных </w:t>
      </w:r>
      <w:hyperlink r:id="rId5" w:tgtFrame="_blank" w:history="1">
        <w:r w:rsidRPr="0027179D">
          <w:rPr>
            <w:rStyle w:val="a4"/>
            <w:color w:val="auto"/>
            <w:spacing w:val="2"/>
            <w:sz w:val="26"/>
            <w:szCs w:val="26"/>
            <w:u w:val="none"/>
            <w:bdr w:val="none" w:sz="0" w:space="0" w:color="auto" w:frame="1"/>
          </w:rPr>
          <w:t>бензинов</w:t>
        </w:r>
      </w:hyperlink>
      <w:r w:rsidRPr="0027179D">
        <w:rPr>
          <w:color w:val="000000"/>
          <w:spacing w:val="2"/>
          <w:sz w:val="26"/>
          <w:szCs w:val="26"/>
        </w:rPr>
        <w:t xml:space="preserve"> и дизельного топлива на экспорт, при одновременном сокращении поставок на внутренний рынок Российской Федерации. Это привело к ограничению предложения объемов топлива, а именно созданию дефицита и оказало существенное влияние на увеличение цены товара. </w:t>
      </w:r>
    </w:p>
    <w:p w:rsidR="005D5427" w:rsidRPr="0027179D" w:rsidRDefault="005D5427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Другим видом </w:t>
      </w:r>
      <w:proofErr w:type="spellStart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антиконкурентного</w:t>
      </w:r>
      <w:proofErr w:type="spellEnd"/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является</w:t>
      </w:r>
      <w:r w:rsidR="007B6AC8"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вертикальн</w:t>
      </w: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7B6AC8"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</w:t>
      </w:r>
      <w:r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>е, под которым</w:t>
      </w:r>
      <w:r w:rsidR="007B6AC8" w:rsidRPr="00271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понимаются </w:t>
      </w:r>
      <w:r w:rsidR="007B6AC8" w:rsidRPr="0027179D">
        <w:rPr>
          <w:rFonts w:ascii="Times New Roman" w:hAnsi="Times New Roman" w:cs="Times New Roman"/>
          <w:sz w:val="26"/>
          <w:szCs w:val="26"/>
        </w:rPr>
        <w:t xml:space="preserve">соглашения между хозяйствующими субъектами, один из которых приобретает товар, а другой предоставляет (продает) товар. </w:t>
      </w:r>
    </w:p>
    <w:p w:rsidR="005D5427" w:rsidRPr="0027179D" w:rsidRDefault="005D5427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Вертикальные соглашения запрещаются если:</w:t>
      </w:r>
    </w:p>
    <w:p w:rsidR="005D5427" w:rsidRPr="0027179D" w:rsidRDefault="005D5427" w:rsidP="002717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Такие соглашения приводят или могут привести к установлению цены перепродажи товара, за исключением случая, когда продавец устанавливает для покупателя максимальную цену перепродажи товара;</w:t>
      </w:r>
    </w:p>
    <w:p w:rsidR="005D5427" w:rsidRPr="0027179D" w:rsidRDefault="005D5427" w:rsidP="0027179D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Такими соглашениями предусмотрено обязательство покупателя не продавать такой товар хозяйствующего субъекта, который является конкурентом продавца</w:t>
      </w:r>
      <w:r w:rsidR="00610ADB" w:rsidRPr="0027179D">
        <w:rPr>
          <w:rFonts w:ascii="Times New Roman" w:hAnsi="Times New Roman" w:cs="Times New Roman"/>
          <w:sz w:val="26"/>
          <w:szCs w:val="26"/>
        </w:rPr>
        <w:t>.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производителя.</w:t>
      </w:r>
    </w:p>
    <w:p w:rsidR="00610ADB" w:rsidRPr="0027179D" w:rsidRDefault="006F1344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Примером</w:t>
      </w:r>
      <w:r w:rsidRPr="0027179D">
        <w:rPr>
          <w:rFonts w:ascii="Times New Roman" w:hAnsi="Times New Roman" w:cs="Times New Roman"/>
          <w:sz w:val="26"/>
          <w:szCs w:val="26"/>
        </w:rPr>
        <w:t xml:space="preserve"> данного соглашения является рассмотренное ФАС России дело о заключении соглашени</w:t>
      </w:r>
      <w:r w:rsidR="00C50B5C" w:rsidRPr="0027179D">
        <w:rPr>
          <w:rFonts w:ascii="Times New Roman" w:hAnsi="Times New Roman" w:cs="Times New Roman"/>
          <w:sz w:val="26"/>
          <w:szCs w:val="26"/>
        </w:rPr>
        <w:t>й</w:t>
      </w:r>
      <w:r w:rsidRPr="0027179D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C50B5C" w:rsidRPr="0027179D">
        <w:rPr>
          <w:rFonts w:ascii="Times New Roman" w:hAnsi="Times New Roman" w:cs="Times New Roman"/>
          <w:sz w:val="26"/>
          <w:szCs w:val="26"/>
        </w:rPr>
        <w:t>заводом и хозяйствующими субъектами.</w:t>
      </w:r>
    </w:p>
    <w:p w:rsidR="00C50B5C" w:rsidRPr="0027179D" w:rsidRDefault="00C50B5C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Во всех договорах, заключенных заводом содержались следующие условия: «Отпускная цена у Дилера должна быть выше, чем в прайс-листе Продавца на сумму расходов по транспортировке Товара», «Снижение цены от прайс-листа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Продавцом». При этом в случае нарушения условий завод вправе в одностороннем порядке пересмотреть условия договора и размер скидки в сторону уменьшения со следующей поставки; при повторном нарушении дилером указанных пунктов договоров завод «имеет право расторгнуть договор в одностороннем порядке». Антимонопольной службой, что подтверждено судами трех инстанций установлено, что исполнение условий дилерских договоров могло привести к установлению минимальной цены перепродажи товара. </w:t>
      </w:r>
    </w:p>
    <w:p w:rsidR="00610ADB" w:rsidRPr="0027179D" w:rsidRDefault="00610ADB" w:rsidP="002717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 w:rsidRPr="0027179D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Pr="0027179D">
        <w:rPr>
          <w:rFonts w:ascii="Times New Roman" w:hAnsi="Times New Roman" w:cs="Times New Roman"/>
          <w:sz w:val="26"/>
          <w:szCs w:val="26"/>
        </w:rPr>
        <w:t xml:space="preserve"> соглашений не является закрытым, законодатель отмечает установление и иных соглашений:</w:t>
      </w:r>
    </w:p>
    <w:p w:rsidR="00610ADB" w:rsidRPr="0027179D" w:rsidRDefault="00610ADB" w:rsidP="0027179D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Запрещаются иные соглашения между хозяйствующими субъектами, если установлено, что такие соглашения приводят или могут привести к ограничению конкуренции. К таким соглашениям могут быть отнесены:</w:t>
      </w:r>
    </w:p>
    <w:p w:rsidR="00610ADB" w:rsidRPr="0027179D" w:rsidRDefault="00F53521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а</w:t>
      </w:r>
      <w:r w:rsidR="00610ADB" w:rsidRPr="0027179D">
        <w:rPr>
          <w:rFonts w:ascii="Times New Roman" w:hAnsi="Times New Roman" w:cs="Times New Roman"/>
          <w:sz w:val="26"/>
          <w:szCs w:val="26"/>
        </w:rPr>
        <w:t>) соглашения об экономически, технологически и иным образом не обоснованном установлении хозяйствующим субъектом различных цен (тарифов)на один и тот же товар;</w:t>
      </w:r>
    </w:p>
    <w:p w:rsidR="00610ADB" w:rsidRPr="0027179D" w:rsidRDefault="00F53521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б</w:t>
      </w:r>
      <w:r w:rsidR="00610ADB" w:rsidRPr="0027179D">
        <w:rPr>
          <w:rFonts w:ascii="Times New Roman" w:hAnsi="Times New Roman" w:cs="Times New Roman"/>
          <w:sz w:val="26"/>
          <w:szCs w:val="26"/>
        </w:rPr>
        <w:t>) о создании другим хозяйствующим субъектам препятствий к доступу на товарный рынок или выходу из товарного рынка;</w:t>
      </w:r>
    </w:p>
    <w:p w:rsidR="00610ADB" w:rsidRPr="0027179D" w:rsidRDefault="00F53521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в</w:t>
      </w:r>
      <w:r w:rsidR="00610ADB" w:rsidRPr="0027179D">
        <w:rPr>
          <w:rFonts w:ascii="Times New Roman" w:hAnsi="Times New Roman" w:cs="Times New Roman"/>
          <w:sz w:val="26"/>
          <w:szCs w:val="26"/>
        </w:rPr>
        <w:t>) об установлении условий членства (участия) в профессиональных и иных объединениях;</w:t>
      </w:r>
    </w:p>
    <w:p w:rsidR="00610ADB" w:rsidRPr="0027179D" w:rsidRDefault="00F53521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г</w:t>
      </w:r>
      <w:r w:rsidR="00610ADB" w:rsidRPr="0027179D">
        <w:rPr>
          <w:rFonts w:ascii="Times New Roman" w:hAnsi="Times New Roman" w:cs="Times New Roman"/>
          <w:sz w:val="26"/>
          <w:szCs w:val="26"/>
        </w:rPr>
        <w:t>) о навязывании контрагенту условий договора, не выгодных для него или не относящихся к предмету договора (необоснованные требования о передаче финансовых средств, иного имущества);</w:t>
      </w:r>
    </w:p>
    <w:p w:rsidR="00610ADB" w:rsidRPr="0027179D" w:rsidRDefault="00610ADB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2) заключение соглашения между организаторами торгов и (или) заказчиками с участниками этих торгов, если такие соглашения имеют своей целью либо приводят или могут привести к ограничению конкуренции и созданию преимущественных условий для каких-либо участников, если иное не предусмотрено действующим законодательством.</w:t>
      </w:r>
    </w:p>
    <w:p w:rsidR="000426D6" w:rsidRPr="0027179D" w:rsidRDefault="000426D6" w:rsidP="0027179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Таким примером</w:t>
      </w:r>
      <w:r w:rsidRPr="0027179D">
        <w:rPr>
          <w:rFonts w:ascii="Times New Roman" w:hAnsi="Times New Roman" w:cs="Times New Roman"/>
          <w:sz w:val="26"/>
          <w:szCs w:val="26"/>
        </w:rPr>
        <w:t xml:space="preserve"> может являться рассмотренное одним из территориальных органов ФАС России дело о признании в действиях нескольких управляющих компаний и хозяйствующего субъекта, осуществляющего</w:t>
      </w:r>
      <w:r w:rsidRPr="00271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79D">
        <w:rPr>
          <w:rFonts w:ascii="Times New Roman" w:hAnsi="Times New Roman" w:cs="Times New Roman"/>
          <w:sz w:val="26"/>
          <w:szCs w:val="26"/>
        </w:rPr>
        <w:t>от имени и за счет управляющих компаний действи</w:t>
      </w:r>
      <w:r w:rsidR="00F53521" w:rsidRPr="0027179D">
        <w:rPr>
          <w:rFonts w:ascii="Times New Roman" w:hAnsi="Times New Roman" w:cs="Times New Roman"/>
          <w:sz w:val="26"/>
          <w:szCs w:val="26"/>
        </w:rPr>
        <w:t>я</w:t>
      </w:r>
      <w:r w:rsidRPr="0027179D">
        <w:rPr>
          <w:rFonts w:ascii="Times New Roman" w:hAnsi="Times New Roman" w:cs="Times New Roman"/>
          <w:sz w:val="26"/>
          <w:szCs w:val="26"/>
        </w:rPr>
        <w:t xml:space="preserve"> по расчёту и начислению платы за жилищные, коммунальные и иные услуги по лицевым счетам потребителей, приёму денежных средств, поступающих от потребителей и перечислению денежных средств, собранных с потребителей на расчётный счёт. Однако в рамках дела установлено, что денежные средства потребителей поступали на расчетные счета лица, осуществляющего расчет и начисление платы, а не на специальные счета управляющих компаний</w:t>
      </w:r>
    </w:p>
    <w:p w:rsidR="00A4535B" w:rsidRPr="0027179D" w:rsidRDefault="00A4535B" w:rsidP="0027179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Последствия </w:t>
      </w:r>
      <w:proofErr w:type="spellStart"/>
      <w:r w:rsidRPr="0027179D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Pr="0027179D">
        <w:rPr>
          <w:rFonts w:ascii="Times New Roman" w:hAnsi="Times New Roman" w:cs="Times New Roman"/>
          <w:sz w:val="26"/>
          <w:szCs w:val="26"/>
        </w:rPr>
        <w:t xml:space="preserve"> соглашений с органами власти:</w:t>
      </w:r>
    </w:p>
    <w:p w:rsidR="00A4535B" w:rsidRPr="0027179D" w:rsidRDefault="00A4535B" w:rsidP="0027179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Повышение, снижение или поддержание цен (тарифов), за исключением случаев, если такие соглашения предусмотрены федеральными законами или нормативными актами;</w:t>
      </w:r>
    </w:p>
    <w:p w:rsidR="00A4535B" w:rsidRPr="0027179D" w:rsidRDefault="00A4535B" w:rsidP="0027179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Экономически, </w:t>
      </w:r>
      <w:proofErr w:type="spellStart"/>
      <w:r w:rsidRPr="0027179D">
        <w:rPr>
          <w:rFonts w:ascii="Times New Roman" w:hAnsi="Times New Roman" w:cs="Times New Roman"/>
          <w:sz w:val="26"/>
          <w:szCs w:val="26"/>
        </w:rPr>
        <w:t>технололгически</w:t>
      </w:r>
      <w:proofErr w:type="spellEnd"/>
      <w:r w:rsidRPr="0027179D">
        <w:rPr>
          <w:rFonts w:ascii="Times New Roman" w:hAnsi="Times New Roman" w:cs="Times New Roman"/>
          <w:sz w:val="26"/>
          <w:szCs w:val="26"/>
        </w:rPr>
        <w:t xml:space="preserve"> и иным образом необоснованное установление различных цен (тарифов) на один и тот же товар;</w:t>
      </w:r>
    </w:p>
    <w:p w:rsidR="00A4535B" w:rsidRPr="0027179D" w:rsidRDefault="00A4535B" w:rsidP="0027179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Раздел товарного рынка по территориальному принципу, объему продажи или покупки товаров, ассортименту реализуемых товаров либо по составу продавцов или покупателей;</w:t>
      </w:r>
    </w:p>
    <w:p w:rsidR="00A4535B" w:rsidRPr="0027179D" w:rsidRDefault="00A4535B" w:rsidP="0027179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Ограничение доступа на товарный рынок, выхода из товарного рынка или устранению с него хозяйствующих субъектов;</w:t>
      </w:r>
    </w:p>
    <w:p w:rsidR="00A4535B" w:rsidRPr="0027179D" w:rsidRDefault="00A4535B" w:rsidP="0027179D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Иные.</w:t>
      </w:r>
    </w:p>
    <w:p w:rsidR="00A4535B" w:rsidRPr="0027179D" w:rsidRDefault="00A505C3" w:rsidP="0027179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iCs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Марийским УФАС России рассмотрено </w:t>
      </w:r>
      <w:r w:rsidR="00F53521" w:rsidRPr="0027179D">
        <w:rPr>
          <w:rFonts w:ascii="Times New Roman" w:hAnsi="Times New Roman" w:cs="Times New Roman"/>
          <w:sz w:val="26"/>
          <w:szCs w:val="26"/>
        </w:rPr>
        <w:t>несколько</w:t>
      </w:r>
      <w:r w:rsidRPr="0027179D">
        <w:rPr>
          <w:rFonts w:ascii="Times New Roman" w:hAnsi="Times New Roman" w:cs="Times New Roman"/>
          <w:sz w:val="26"/>
          <w:szCs w:val="26"/>
        </w:rPr>
        <w:t xml:space="preserve"> дел по данным нарушениям, среди которых можно </w:t>
      </w:r>
      <w:r w:rsidRPr="0027179D">
        <w:rPr>
          <w:rFonts w:ascii="Times New Roman" w:hAnsi="Times New Roman" w:cs="Times New Roman"/>
          <w:b/>
          <w:i/>
          <w:sz w:val="26"/>
          <w:szCs w:val="26"/>
          <w:highlight w:val="yellow"/>
          <w:u w:val="single"/>
        </w:rPr>
        <w:t>привести</w:t>
      </w:r>
      <w:r w:rsidRPr="0027179D">
        <w:rPr>
          <w:rFonts w:ascii="Times New Roman" w:hAnsi="Times New Roman" w:cs="Times New Roman"/>
          <w:sz w:val="26"/>
          <w:szCs w:val="26"/>
        </w:rPr>
        <w:t xml:space="preserve"> пример</w:t>
      </w:r>
      <w:r w:rsidR="00C50B5C" w:rsidRPr="0027179D">
        <w:rPr>
          <w:rFonts w:ascii="Times New Roman" w:hAnsi="Times New Roman" w:cs="Times New Roman"/>
          <w:sz w:val="26"/>
          <w:szCs w:val="26"/>
        </w:rPr>
        <w:t>ы</w:t>
      </w:r>
      <w:r w:rsidRPr="0027179D">
        <w:rPr>
          <w:rFonts w:ascii="Times New Roman" w:hAnsi="Times New Roman" w:cs="Times New Roman"/>
          <w:sz w:val="26"/>
          <w:szCs w:val="26"/>
        </w:rPr>
        <w:t xml:space="preserve"> </w:t>
      </w:r>
      <w:r w:rsidRPr="0027179D">
        <w:rPr>
          <w:rFonts w:ascii="Times New Roman" w:hAnsi="Times New Roman" w:cs="Times New Roman"/>
          <w:iCs/>
          <w:sz w:val="26"/>
          <w:szCs w:val="26"/>
        </w:rPr>
        <w:t>заключения</w:t>
      </w:r>
      <w:r w:rsidR="006F1344" w:rsidRPr="0027179D">
        <w:rPr>
          <w:rFonts w:ascii="Times New Roman" w:hAnsi="Times New Roman" w:cs="Times New Roman"/>
          <w:iCs/>
          <w:sz w:val="26"/>
          <w:szCs w:val="26"/>
        </w:rPr>
        <w:t xml:space="preserve"> соглашени</w:t>
      </w:r>
      <w:r w:rsidR="00C50B5C" w:rsidRPr="0027179D">
        <w:rPr>
          <w:rFonts w:ascii="Times New Roman" w:hAnsi="Times New Roman" w:cs="Times New Roman"/>
          <w:iCs/>
          <w:sz w:val="26"/>
          <w:szCs w:val="26"/>
        </w:rPr>
        <w:t>й</w:t>
      </w:r>
      <w:r w:rsidR="006F1344" w:rsidRPr="0027179D">
        <w:rPr>
          <w:rFonts w:ascii="Times New Roman" w:hAnsi="Times New Roman" w:cs="Times New Roman"/>
          <w:iCs/>
          <w:sz w:val="26"/>
          <w:szCs w:val="26"/>
        </w:rPr>
        <w:t xml:space="preserve"> между </w:t>
      </w:r>
      <w:r w:rsidR="00C50B5C" w:rsidRPr="0027179D">
        <w:rPr>
          <w:rFonts w:ascii="Times New Roman" w:hAnsi="Times New Roman" w:cs="Times New Roman"/>
          <w:iCs/>
          <w:sz w:val="26"/>
          <w:szCs w:val="26"/>
        </w:rPr>
        <w:t>органом местного самоуправления</w:t>
      </w:r>
      <w:r w:rsidR="006F1344" w:rsidRPr="0027179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50B5C" w:rsidRPr="0027179D">
        <w:rPr>
          <w:rFonts w:ascii="Times New Roman" w:hAnsi="Times New Roman" w:cs="Times New Roman"/>
          <w:iCs/>
          <w:sz w:val="26"/>
          <w:szCs w:val="26"/>
        </w:rPr>
        <w:t xml:space="preserve">и хозяйствующим </w:t>
      </w:r>
      <w:proofErr w:type="spellStart"/>
      <w:r w:rsidR="00C50B5C" w:rsidRPr="0027179D">
        <w:rPr>
          <w:rFonts w:ascii="Times New Roman" w:hAnsi="Times New Roman" w:cs="Times New Roman"/>
          <w:iCs/>
          <w:sz w:val="26"/>
          <w:szCs w:val="26"/>
        </w:rPr>
        <w:t>сукбъектами</w:t>
      </w:r>
      <w:proofErr w:type="spellEnd"/>
      <w:r w:rsidRPr="0027179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F1344" w:rsidRPr="0027179D">
        <w:rPr>
          <w:rFonts w:ascii="Times New Roman" w:hAnsi="Times New Roman" w:cs="Times New Roman"/>
          <w:iCs/>
          <w:sz w:val="26"/>
          <w:szCs w:val="26"/>
        </w:rPr>
        <w:t>по</w:t>
      </w:r>
      <w:r w:rsidRPr="0027179D">
        <w:rPr>
          <w:rFonts w:ascii="Times New Roman" w:hAnsi="Times New Roman" w:cs="Times New Roman"/>
          <w:iCs/>
          <w:sz w:val="26"/>
          <w:szCs w:val="26"/>
        </w:rPr>
        <w:t xml:space="preserve"> предоставлени</w:t>
      </w:r>
      <w:r w:rsidR="006F1344" w:rsidRPr="0027179D">
        <w:rPr>
          <w:rFonts w:ascii="Times New Roman" w:hAnsi="Times New Roman" w:cs="Times New Roman"/>
          <w:iCs/>
          <w:sz w:val="26"/>
          <w:szCs w:val="26"/>
        </w:rPr>
        <w:t>ю</w:t>
      </w:r>
      <w:r w:rsidRPr="0027179D">
        <w:rPr>
          <w:rFonts w:ascii="Times New Roman" w:hAnsi="Times New Roman" w:cs="Times New Roman"/>
          <w:iCs/>
          <w:sz w:val="26"/>
          <w:szCs w:val="26"/>
        </w:rPr>
        <w:t xml:space="preserve"> земельных участков в нарушение норм действующего законодательства, в том числе без проведения торгов</w:t>
      </w:r>
      <w:r w:rsidR="006F1344" w:rsidRPr="0027179D">
        <w:rPr>
          <w:rFonts w:ascii="Times New Roman" w:hAnsi="Times New Roman" w:cs="Times New Roman"/>
          <w:iCs/>
          <w:sz w:val="26"/>
          <w:szCs w:val="26"/>
        </w:rPr>
        <w:t>. Указанные действия привели к ограничению доступа на товарный рынок иных хозяйствующих субъектов, что является недопустимым в соответствии с антимонопольным законодательством.</w:t>
      </w:r>
    </w:p>
    <w:p w:rsidR="00A4535B" w:rsidRPr="0027179D" w:rsidRDefault="00A326A9" w:rsidP="0027179D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Законом о защите конкуренции установлена ответственность за нарушение антимонопольного</w:t>
      </w:r>
      <w:r w:rsidR="00A505C3" w:rsidRPr="0027179D">
        <w:rPr>
          <w:rFonts w:ascii="Times New Roman" w:hAnsi="Times New Roman" w:cs="Times New Roman"/>
          <w:sz w:val="26"/>
          <w:szCs w:val="26"/>
        </w:rPr>
        <w:t xml:space="preserve"> </w:t>
      </w:r>
      <w:r w:rsidRPr="0027179D">
        <w:rPr>
          <w:rFonts w:ascii="Times New Roman" w:hAnsi="Times New Roman" w:cs="Times New Roman"/>
          <w:sz w:val="26"/>
          <w:szCs w:val="26"/>
        </w:rPr>
        <w:t xml:space="preserve">Законодательства, в частности за заключение </w:t>
      </w:r>
      <w:proofErr w:type="spellStart"/>
      <w:r w:rsidRPr="0027179D">
        <w:rPr>
          <w:rFonts w:ascii="Times New Roman" w:hAnsi="Times New Roman" w:cs="Times New Roman"/>
          <w:sz w:val="26"/>
          <w:szCs w:val="26"/>
        </w:rPr>
        <w:t>антиконкурентного</w:t>
      </w:r>
      <w:proofErr w:type="spellEnd"/>
      <w:r w:rsidRPr="0027179D">
        <w:rPr>
          <w:rFonts w:ascii="Times New Roman" w:hAnsi="Times New Roman" w:cs="Times New Roman"/>
          <w:sz w:val="26"/>
          <w:szCs w:val="26"/>
        </w:rPr>
        <w:t xml:space="preserve"> соглашения:</w:t>
      </w:r>
    </w:p>
    <w:p w:rsidR="00A326A9" w:rsidRPr="0027179D" w:rsidRDefault="00A326A9" w:rsidP="0027179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Гражданско-правовая ответственность: возмещение убытков;</w:t>
      </w:r>
    </w:p>
    <w:p w:rsidR="00A326A9" w:rsidRPr="0027179D" w:rsidRDefault="00A326A9" w:rsidP="0027179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Уголовная ответственность: статья 178 УК РФ – штраф либо лишение свободы;</w:t>
      </w:r>
    </w:p>
    <w:p w:rsidR="00A326A9" w:rsidRPr="0027179D" w:rsidRDefault="00A326A9" w:rsidP="0027179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Административная ответственность: фиксированные и оборотные штрафы (статья 14.32 КоАП РФ);</w:t>
      </w:r>
    </w:p>
    <w:p w:rsidR="00870E29" w:rsidRPr="0027179D" w:rsidRDefault="00A326A9" w:rsidP="0027179D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Антимонопольная ответственность: предписание о перечислении в бюджет незаконного дохода.</w:t>
      </w:r>
    </w:p>
    <w:p w:rsidR="005406C3" w:rsidRPr="0027179D" w:rsidRDefault="005406C3" w:rsidP="0027179D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Кроме того, КоАП РФ предусматривает освобождение лиц от административной ответственности</w:t>
      </w:r>
      <w:r w:rsidR="003E6E9C" w:rsidRPr="0027179D">
        <w:rPr>
          <w:rFonts w:ascii="Times New Roman" w:hAnsi="Times New Roman" w:cs="Times New Roman"/>
          <w:sz w:val="26"/>
          <w:szCs w:val="26"/>
        </w:rPr>
        <w:t>,</w:t>
      </w:r>
      <w:r w:rsidRPr="0027179D">
        <w:rPr>
          <w:rFonts w:ascii="Times New Roman" w:hAnsi="Times New Roman" w:cs="Times New Roman"/>
          <w:sz w:val="26"/>
          <w:szCs w:val="26"/>
        </w:rPr>
        <w:t xml:space="preserve"> смягчение административного наказания</w:t>
      </w:r>
      <w:r w:rsidR="003E6E9C" w:rsidRPr="0027179D">
        <w:rPr>
          <w:rFonts w:ascii="Times New Roman" w:hAnsi="Times New Roman" w:cs="Times New Roman"/>
          <w:sz w:val="26"/>
          <w:szCs w:val="26"/>
        </w:rPr>
        <w:t xml:space="preserve"> либо назначение административного штрафа в минимальном размере санкции, предусмотренной статьей 14.32 КоАП РФ</w:t>
      </w:r>
      <w:r w:rsidRPr="0027179D">
        <w:rPr>
          <w:rFonts w:ascii="Times New Roman" w:hAnsi="Times New Roman" w:cs="Times New Roman"/>
          <w:sz w:val="26"/>
          <w:szCs w:val="26"/>
        </w:rPr>
        <w:t>.</w:t>
      </w:r>
    </w:p>
    <w:p w:rsidR="005406C3" w:rsidRPr="0027179D" w:rsidRDefault="0049415A" w:rsidP="0027179D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Освобождению от административной ответственности подлежит лицо (группа лиц), которое первым</w:t>
      </w:r>
      <w:r w:rsidR="005406C3" w:rsidRPr="0027179D">
        <w:rPr>
          <w:rFonts w:ascii="Times New Roman" w:hAnsi="Times New Roman" w:cs="Times New Roman"/>
          <w:sz w:val="26"/>
          <w:szCs w:val="26"/>
        </w:rPr>
        <w:t xml:space="preserve"> добровольно заяв</w:t>
      </w:r>
      <w:r w:rsidRPr="0027179D">
        <w:rPr>
          <w:rFonts w:ascii="Times New Roman" w:hAnsi="Times New Roman" w:cs="Times New Roman"/>
          <w:sz w:val="26"/>
          <w:szCs w:val="26"/>
        </w:rPr>
        <w:t>лено</w:t>
      </w:r>
      <w:r w:rsidR="005406C3" w:rsidRPr="0027179D">
        <w:rPr>
          <w:rFonts w:ascii="Times New Roman" w:hAnsi="Times New Roman" w:cs="Times New Roman"/>
          <w:sz w:val="26"/>
          <w:szCs w:val="26"/>
        </w:rPr>
        <w:t xml:space="preserve"> в антимонопольный орган о заключении им </w:t>
      </w:r>
      <w:proofErr w:type="spellStart"/>
      <w:r w:rsidR="00C87DE2" w:rsidRPr="0027179D">
        <w:rPr>
          <w:rFonts w:ascii="Times New Roman" w:hAnsi="Times New Roman" w:cs="Times New Roman"/>
          <w:sz w:val="26"/>
          <w:szCs w:val="26"/>
        </w:rPr>
        <w:t>антиконкурент</w:t>
      </w:r>
      <w:r w:rsidRPr="0027179D">
        <w:rPr>
          <w:rFonts w:ascii="Times New Roman" w:hAnsi="Times New Roman" w:cs="Times New Roman"/>
          <w:sz w:val="26"/>
          <w:szCs w:val="26"/>
        </w:rPr>
        <w:t>но</w:t>
      </w:r>
      <w:r w:rsidR="00C87DE2" w:rsidRPr="0027179D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406C3" w:rsidRPr="0027179D">
        <w:rPr>
          <w:rFonts w:ascii="Times New Roman" w:hAnsi="Times New Roman" w:cs="Times New Roman"/>
          <w:sz w:val="26"/>
          <w:szCs w:val="26"/>
        </w:rPr>
        <w:t xml:space="preserve"> </w:t>
      </w:r>
      <w:r w:rsidR="003E6E9C" w:rsidRPr="0027179D">
        <w:rPr>
          <w:rFonts w:ascii="Times New Roman" w:hAnsi="Times New Roman" w:cs="Times New Roman"/>
          <w:sz w:val="26"/>
          <w:szCs w:val="26"/>
        </w:rPr>
        <w:t>соглашения</w:t>
      </w:r>
      <w:r w:rsidR="005406C3" w:rsidRPr="0027179D">
        <w:rPr>
          <w:rFonts w:ascii="Times New Roman" w:hAnsi="Times New Roman" w:cs="Times New Roman"/>
          <w:sz w:val="26"/>
          <w:szCs w:val="26"/>
        </w:rPr>
        <w:t xml:space="preserve">, </w:t>
      </w:r>
      <w:r w:rsidRPr="0027179D">
        <w:rPr>
          <w:rFonts w:ascii="Times New Roman" w:hAnsi="Times New Roman" w:cs="Times New Roman"/>
          <w:sz w:val="26"/>
          <w:szCs w:val="26"/>
        </w:rPr>
        <w:t>и выполнившем</w:t>
      </w:r>
      <w:r w:rsidR="005406C3" w:rsidRPr="0027179D">
        <w:rPr>
          <w:rFonts w:ascii="Times New Roman" w:hAnsi="Times New Roman" w:cs="Times New Roman"/>
          <w:sz w:val="26"/>
          <w:szCs w:val="26"/>
        </w:rPr>
        <w:t xml:space="preserve"> в совокупности следующи</w:t>
      </w:r>
      <w:r w:rsidR="007F5C27">
        <w:rPr>
          <w:rFonts w:ascii="Times New Roman" w:hAnsi="Times New Roman" w:cs="Times New Roman"/>
          <w:sz w:val="26"/>
          <w:szCs w:val="26"/>
        </w:rPr>
        <w:t>е</w:t>
      </w:r>
      <w:r w:rsidR="005406C3" w:rsidRPr="0027179D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7F5C27">
        <w:rPr>
          <w:rFonts w:ascii="Times New Roman" w:hAnsi="Times New Roman" w:cs="Times New Roman"/>
          <w:sz w:val="26"/>
          <w:szCs w:val="26"/>
        </w:rPr>
        <w:t>я</w:t>
      </w:r>
      <w:r w:rsidR="005406C3" w:rsidRPr="0027179D">
        <w:rPr>
          <w:rFonts w:ascii="Times New Roman" w:hAnsi="Times New Roman" w:cs="Times New Roman"/>
          <w:sz w:val="26"/>
          <w:szCs w:val="26"/>
        </w:rPr>
        <w:t>:</w:t>
      </w:r>
    </w:p>
    <w:p w:rsidR="005406C3" w:rsidRPr="0027179D" w:rsidRDefault="0049415A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- </w:t>
      </w:r>
      <w:r w:rsidR="005406C3" w:rsidRPr="0027179D">
        <w:rPr>
          <w:rFonts w:ascii="Times New Roman" w:hAnsi="Times New Roman" w:cs="Times New Roman"/>
          <w:sz w:val="26"/>
          <w:szCs w:val="26"/>
        </w:rPr>
        <w:t>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правонарушении;</w:t>
      </w:r>
    </w:p>
    <w:p w:rsidR="005406C3" w:rsidRPr="0027179D" w:rsidRDefault="005406C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лицо отказалось от участия или дальнейшего участия в соглашении либо от осуществления или дальнейшего осуществления согласованных действий;</w:t>
      </w:r>
    </w:p>
    <w:p w:rsidR="005406C3" w:rsidRPr="0027179D" w:rsidRDefault="005406C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5406C3" w:rsidRPr="0027179D" w:rsidRDefault="0027179D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2. </w:t>
      </w:r>
      <w:r w:rsidR="005406C3" w:rsidRPr="0027179D">
        <w:rPr>
          <w:rFonts w:ascii="Times New Roman" w:hAnsi="Times New Roman" w:cs="Times New Roman"/>
          <w:sz w:val="26"/>
          <w:szCs w:val="26"/>
        </w:rPr>
        <w:t xml:space="preserve">К обстоятельствам, смягчающим административную ответственность, </w:t>
      </w:r>
      <w:r w:rsidR="003E6E9C" w:rsidRPr="0027179D">
        <w:rPr>
          <w:rFonts w:ascii="Times New Roman" w:hAnsi="Times New Roman" w:cs="Times New Roman"/>
          <w:sz w:val="26"/>
          <w:szCs w:val="26"/>
        </w:rPr>
        <w:t>кроме установленных статьей 4.2 КоАП</w:t>
      </w:r>
      <w:r w:rsidR="005406C3" w:rsidRPr="0027179D">
        <w:rPr>
          <w:rFonts w:ascii="Times New Roman" w:hAnsi="Times New Roman" w:cs="Times New Roman"/>
          <w:sz w:val="26"/>
          <w:szCs w:val="26"/>
        </w:rPr>
        <w:t xml:space="preserve"> </w:t>
      </w:r>
      <w:r w:rsidR="003E6E9C" w:rsidRPr="0027179D">
        <w:rPr>
          <w:rFonts w:ascii="Times New Roman" w:hAnsi="Times New Roman" w:cs="Times New Roman"/>
          <w:sz w:val="26"/>
          <w:szCs w:val="26"/>
        </w:rPr>
        <w:t>дополнительно отнесены следующие</w:t>
      </w:r>
      <w:r w:rsidR="005406C3" w:rsidRPr="0027179D">
        <w:rPr>
          <w:rFonts w:ascii="Times New Roman" w:hAnsi="Times New Roman" w:cs="Times New Roman"/>
          <w:sz w:val="26"/>
          <w:szCs w:val="26"/>
        </w:rPr>
        <w:t>:</w:t>
      </w:r>
    </w:p>
    <w:p w:rsidR="005406C3" w:rsidRPr="0027179D" w:rsidRDefault="005406C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1) лицо, совершившее административное правонарушение, не является организатором ограничивающих конкуренцию соглашения и (или) получило обязательные для исполнения указания участвовать в них;</w:t>
      </w:r>
    </w:p>
    <w:p w:rsidR="005406C3" w:rsidRPr="0027179D" w:rsidRDefault="005406C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2) лицо, совершившее административное правонарушение, не приступило к исполнению заключенного им ограничивающего конкуренцию соглашения.</w:t>
      </w:r>
    </w:p>
    <w:p w:rsidR="005406C3" w:rsidRPr="0027179D" w:rsidRDefault="0027179D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 xml:space="preserve">3. </w:t>
      </w:r>
      <w:r w:rsidR="003E6E9C" w:rsidRPr="0027179D">
        <w:rPr>
          <w:rFonts w:ascii="Times New Roman" w:hAnsi="Times New Roman" w:cs="Times New Roman"/>
          <w:sz w:val="26"/>
          <w:szCs w:val="26"/>
        </w:rPr>
        <w:t>М</w:t>
      </w:r>
      <w:r w:rsidR="005406C3" w:rsidRPr="0027179D">
        <w:rPr>
          <w:rFonts w:ascii="Times New Roman" w:hAnsi="Times New Roman" w:cs="Times New Roman"/>
          <w:sz w:val="26"/>
          <w:szCs w:val="26"/>
        </w:rPr>
        <w:t>инимальн</w:t>
      </w:r>
      <w:r w:rsidR="003E6E9C" w:rsidRPr="0027179D">
        <w:rPr>
          <w:rFonts w:ascii="Times New Roman" w:hAnsi="Times New Roman" w:cs="Times New Roman"/>
          <w:sz w:val="26"/>
          <w:szCs w:val="26"/>
        </w:rPr>
        <w:t>ый размер административного штрафа назначается в том случае, если лицо</w:t>
      </w:r>
      <w:r w:rsidR="00067BDA">
        <w:rPr>
          <w:rFonts w:ascii="Times New Roman" w:hAnsi="Times New Roman" w:cs="Times New Roman"/>
          <w:sz w:val="26"/>
          <w:szCs w:val="26"/>
        </w:rPr>
        <w:t>м</w:t>
      </w:r>
      <w:r w:rsidR="003E6E9C" w:rsidRPr="0027179D">
        <w:rPr>
          <w:rFonts w:ascii="Times New Roman" w:hAnsi="Times New Roman" w:cs="Times New Roman"/>
          <w:sz w:val="26"/>
          <w:szCs w:val="26"/>
        </w:rPr>
        <w:t xml:space="preserve"> </w:t>
      </w:r>
      <w:r w:rsidR="00067BDA">
        <w:rPr>
          <w:rFonts w:ascii="Times New Roman" w:hAnsi="Times New Roman" w:cs="Times New Roman"/>
          <w:sz w:val="26"/>
          <w:szCs w:val="26"/>
        </w:rPr>
        <w:t xml:space="preserve">(вторым, третьим) </w:t>
      </w:r>
      <w:r w:rsidR="005406C3" w:rsidRPr="0027179D">
        <w:rPr>
          <w:rFonts w:ascii="Times New Roman" w:hAnsi="Times New Roman" w:cs="Times New Roman"/>
          <w:sz w:val="26"/>
          <w:szCs w:val="26"/>
        </w:rPr>
        <w:t>добровольно заявило в антимонопольный орган о заключении им недопустимого в соответствии с антимонопольным законодательством соглашения и в совокупности выполнило следующие условия:</w:t>
      </w:r>
    </w:p>
    <w:p w:rsidR="005406C3" w:rsidRPr="0027179D" w:rsidRDefault="005406C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лицо признало факт совершения административного правонарушения;</w:t>
      </w:r>
    </w:p>
    <w:p w:rsidR="005406C3" w:rsidRPr="0027179D" w:rsidRDefault="005406C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лицо отказалось от участия либо дальнейшего участия в соглашении или согласованных действиях;</w:t>
      </w:r>
    </w:p>
    <w:p w:rsidR="005406C3" w:rsidRPr="0027179D" w:rsidRDefault="005406C3" w:rsidP="00271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179D">
        <w:rPr>
          <w:rFonts w:ascii="Times New Roman" w:hAnsi="Times New Roman" w:cs="Times New Roman"/>
          <w:sz w:val="26"/>
          <w:szCs w:val="26"/>
        </w:rP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5406C3" w:rsidRPr="00067BDA" w:rsidRDefault="00067BDA" w:rsidP="00067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хотелось бы отметить, что от антиконкурентных соглашений </w:t>
      </w:r>
      <w:r w:rsidRPr="00067BDA">
        <w:rPr>
          <w:rFonts w:ascii="Times New Roman" w:hAnsi="Times New Roman" w:cs="Times New Roman"/>
          <w:sz w:val="26"/>
          <w:szCs w:val="26"/>
        </w:rPr>
        <w:t xml:space="preserve">страдают интересы добросовестных предпринимателей. От раздела рынка, роста цен </w:t>
      </w:r>
      <w:r w:rsidRPr="00067BDA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67BDA">
        <w:rPr>
          <w:rFonts w:ascii="Times New Roman" w:hAnsi="Times New Roman" w:cs="Times New Roman"/>
          <w:sz w:val="26"/>
          <w:szCs w:val="26"/>
        </w:rPr>
        <w:t>страдают и интересы потребителей: как граждан, так и бизнесменов. </w:t>
      </w:r>
    </w:p>
    <w:p w:rsidR="00067BDA" w:rsidRPr="0027179D" w:rsidRDefault="00067BDA" w:rsidP="00067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7BDA">
        <w:rPr>
          <w:rFonts w:ascii="Times New Roman" w:hAnsi="Times New Roman" w:cs="Times New Roman"/>
          <w:sz w:val="26"/>
          <w:szCs w:val="26"/>
        </w:rPr>
        <w:t xml:space="preserve">Распад любого картеля </w:t>
      </w:r>
      <w:r w:rsidRPr="00067BDA">
        <w:rPr>
          <w:rFonts w:ascii="Times New Roman" w:hAnsi="Times New Roman" w:cs="Times New Roman"/>
          <w:sz w:val="26"/>
          <w:szCs w:val="26"/>
        </w:rPr>
        <w:t xml:space="preserve">положительно влияет на </w:t>
      </w:r>
      <w:r w:rsidRPr="00067BDA">
        <w:rPr>
          <w:rFonts w:ascii="Times New Roman" w:hAnsi="Times New Roman" w:cs="Times New Roman"/>
          <w:sz w:val="26"/>
          <w:szCs w:val="26"/>
        </w:rPr>
        <w:t>рын</w:t>
      </w:r>
      <w:r w:rsidRPr="00067BDA">
        <w:rPr>
          <w:rFonts w:ascii="Times New Roman" w:hAnsi="Times New Roman" w:cs="Times New Roman"/>
          <w:sz w:val="26"/>
          <w:szCs w:val="26"/>
        </w:rPr>
        <w:t>ок</w:t>
      </w:r>
      <w:r w:rsidRPr="00067BDA">
        <w:rPr>
          <w:rFonts w:ascii="Times New Roman" w:hAnsi="Times New Roman" w:cs="Times New Roman"/>
          <w:sz w:val="26"/>
          <w:szCs w:val="26"/>
        </w:rPr>
        <w:t>, где восстанавливается конкуренция, для участников этого рынка и потребителей.</w:t>
      </w:r>
      <w:bookmarkStart w:id="0" w:name="_GoBack"/>
      <w:bookmarkEnd w:id="0"/>
    </w:p>
    <w:sectPr w:rsidR="00067BDA" w:rsidRPr="0027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2F7"/>
    <w:multiLevelType w:val="hybridMultilevel"/>
    <w:tmpl w:val="1A86FE88"/>
    <w:lvl w:ilvl="0" w:tplc="0394A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E24154"/>
    <w:multiLevelType w:val="multilevel"/>
    <w:tmpl w:val="D2E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96650"/>
    <w:multiLevelType w:val="hybridMultilevel"/>
    <w:tmpl w:val="4BD0014C"/>
    <w:lvl w:ilvl="0" w:tplc="19703CB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20E331F"/>
    <w:multiLevelType w:val="hybridMultilevel"/>
    <w:tmpl w:val="7D5EF012"/>
    <w:lvl w:ilvl="0" w:tplc="699262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427E2A"/>
    <w:multiLevelType w:val="hybridMultilevel"/>
    <w:tmpl w:val="5270E57E"/>
    <w:lvl w:ilvl="0" w:tplc="B88EB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FA5F67"/>
    <w:multiLevelType w:val="hybridMultilevel"/>
    <w:tmpl w:val="A8B6DCB4"/>
    <w:lvl w:ilvl="0" w:tplc="F0CE9C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46880"/>
    <w:multiLevelType w:val="hybridMultilevel"/>
    <w:tmpl w:val="67B2B5D4"/>
    <w:lvl w:ilvl="0" w:tplc="58F085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050791"/>
    <w:multiLevelType w:val="hybridMultilevel"/>
    <w:tmpl w:val="008C4584"/>
    <w:lvl w:ilvl="0" w:tplc="84DA3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731350"/>
    <w:multiLevelType w:val="hybridMultilevel"/>
    <w:tmpl w:val="50E00146"/>
    <w:lvl w:ilvl="0" w:tplc="814E2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5874A0"/>
    <w:multiLevelType w:val="hybridMultilevel"/>
    <w:tmpl w:val="55981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C5E7B"/>
    <w:multiLevelType w:val="hybridMultilevel"/>
    <w:tmpl w:val="6D68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51195"/>
    <w:multiLevelType w:val="hybridMultilevel"/>
    <w:tmpl w:val="608AF40A"/>
    <w:lvl w:ilvl="0" w:tplc="E00A9FE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3"/>
    <w:rsid w:val="000426D6"/>
    <w:rsid w:val="00067BDA"/>
    <w:rsid w:val="0016227F"/>
    <w:rsid w:val="00166125"/>
    <w:rsid w:val="001F2FA9"/>
    <w:rsid w:val="0021165F"/>
    <w:rsid w:val="0022716C"/>
    <w:rsid w:val="002613E5"/>
    <w:rsid w:val="0027179D"/>
    <w:rsid w:val="002C2EC1"/>
    <w:rsid w:val="002F6E75"/>
    <w:rsid w:val="0032029B"/>
    <w:rsid w:val="00343890"/>
    <w:rsid w:val="003878B5"/>
    <w:rsid w:val="003B5057"/>
    <w:rsid w:val="003E6E9C"/>
    <w:rsid w:val="003F2D1F"/>
    <w:rsid w:val="0049415A"/>
    <w:rsid w:val="00540521"/>
    <w:rsid w:val="005406C3"/>
    <w:rsid w:val="00542E88"/>
    <w:rsid w:val="00582197"/>
    <w:rsid w:val="0059327E"/>
    <w:rsid w:val="005D5427"/>
    <w:rsid w:val="00610ADB"/>
    <w:rsid w:val="006B7395"/>
    <w:rsid w:val="006F1344"/>
    <w:rsid w:val="00725831"/>
    <w:rsid w:val="00743135"/>
    <w:rsid w:val="007B6AC8"/>
    <w:rsid w:val="007F5C27"/>
    <w:rsid w:val="00870E29"/>
    <w:rsid w:val="00884053"/>
    <w:rsid w:val="008E6F1C"/>
    <w:rsid w:val="00A326A9"/>
    <w:rsid w:val="00A403DD"/>
    <w:rsid w:val="00A4535B"/>
    <w:rsid w:val="00A505C3"/>
    <w:rsid w:val="00A707B7"/>
    <w:rsid w:val="00A740FA"/>
    <w:rsid w:val="00AC4A8D"/>
    <w:rsid w:val="00AC54F4"/>
    <w:rsid w:val="00AD2147"/>
    <w:rsid w:val="00B65141"/>
    <w:rsid w:val="00BF66BE"/>
    <w:rsid w:val="00C50B5C"/>
    <w:rsid w:val="00C87DE2"/>
    <w:rsid w:val="00CD2D13"/>
    <w:rsid w:val="00CD2ECB"/>
    <w:rsid w:val="00E3433B"/>
    <w:rsid w:val="00EA3173"/>
    <w:rsid w:val="00EB06F8"/>
    <w:rsid w:val="00EC5D65"/>
    <w:rsid w:val="00ED5339"/>
    <w:rsid w:val="00F53111"/>
    <w:rsid w:val="00F53521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E880-F8E9-4DF8-B928-4FCBFC85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2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D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2D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029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4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ody Text"/>
    <w:basedOn w:val="a"/>
    <w:link w:val="a7"/>
    <w:uiPriority w:val="99"/>
    <w:rsid w:val="00FA48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A48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4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32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tovzglyad.ru/obshestvo/socium/2018-04-02-v-pravitelstve-podtverdili--benzin-prodolzhit-dorozh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Ерошкина О.В.</dc:creator>
  <cp:keywords/>
  <dc:description/>
  <cp:lastModifiedBy>Ерошкина О.В.</cp:lastModifiedBy>
  <cp:revision>2</cp:revision>
  <cp:lastPrinted>2018-09-04T19:05:00Z</cp:lastPrinted>
  <dcterms:created xsi:type="dcterms:W3CDTF">2018-09-04T19:32:00Z</dcterms:created>
  <dcterms:modified xsi:type="dcterms:W3CDTF">2018-09-04T19:32:00Z</dcterms:modified>
</cp:coreProperties>
</file>